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浙江万里学院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《日语》辅修专业实施方案</w:t>
      </w:r>
    </w:p>
    <w:p>
      <w:pPr>
        <w:pStyle w:val="8"/>
        <w:spacing w:line="360" w:lineRule="auto"/>
        <w:ind w:left="142" w:firstLine="0" w:firstLineChars="0"/>
        <w:rPr>
          <w:rFonts w:ascii="黑体" w:hAnsi="黑体" w:eastAsia="黑体"/>
          <w:sz w:val="30"/>
          <w:szCs w:val="30"/>
        </w:rPr>
      </w:pPr>
    </w:p>
    <w:p>
      <w:pPr>
        <w:pStyle w:val="8"/>
        <w:spacing w:line="360" w:lineRule="auto"/>
        <w:ind w:left="142"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一、专业介绍：</w:t>
      </w:r>
    </w:p>
    <w:p>
      <w:pPr>
        <w:pStyle w:val="8"/>
        <w:spacing w:line="360" w:lineRule="auto"/>
        <w:ind w:firstLine="600" w:firstLineChars="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日语专业2001年开始招生，2003年招收本科生，已毕业十届本科生近千人。现专职教师13人，其中高级职称3人，讲师10人。教师都有赴日本知名大学留学、访问和工作的经历。常年聘任1-2位外籍专家执教。近5年毕业生就业率达97%以上。同时与多所日本高校、教育机构建立了合作关系，包括“交换生”、“双学位”等赴国外学习项目，以及短期留学、海外夏（冬）令营等实践项目，每届有30%左右的学生通过各类项目赴海外学习。针对辅修专业学生的目标差异，课程设计不仅满足学生对日语专业知识掌握的需要，更突出对学生跨文化交际能力的培养，通过系统的课程训练，结合学生主修专业，毕业后能胜任简单日语环境下的商务、翻译、文化、信息技术等部门工作，拓宽学生就业方向，增强就业的灵活性。</w:t>
      </w:r>
    </w:p>
    <w:p>
      <w:pPr>
        <w:pStyle w:val="8"/>
        <w:spacing w:line="360" w:lineRule="auto"/>
        <w:ind w:left="142"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二、招收对象:</w:t>
      </w:r>
    </w:p>
    <w:p>
      <w:pPr>
        <w:pStyle w:val="8"/>
        <w:spacing w:line="360" w:lineRule="auto"/>
        <w:ind w:firstLine="600" w:firstLineChars="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根据我校人才培养目标总体要求，本着校内资源共享，加强“个性化”和“复合型”人才培养的原则，外国语学院面向全校在读大学二年级学生（不包括日语专业学生）开设日语辅修专业。</w:t>
      </w:r>
    </w:p>
    <w:p>
      <w:pPr>
        <w:pStyle w:val="8"/>
        <w:spacing w:line="360" w:lineRule="auto"/>
        <w:ind w:left="142"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三、招生规模：</w:t>
      </w:r>
    </w:p>
    <w:p>
      <w:pPr>
        <w:pStyle w:val="8"/>
        <w:spacing w:line="360" w:lineRule="auto"/>
        <w:ind w:firstLine="600" w:firstLineChars="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20人以上开班，每届计划招生不超过</w:t>
      </w: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70人（2个教学班）</w:t>
      </w:r>
      <w:r>
        <w:rPr>
          <w:rFonts w:hint="eastAsia" w:ascii="Times New Roman" w:hAnsi="Times New Roman" w:eastAsia="仿宋" w:cs="Times New Roman"/>
          <w:sz w:val="30"/>
          <w:szCs w:val="30"/>
        </w:rPr>
        <w:t>。</w:t>
      </w:r>
    </w:p>
    <w:p>
      <w:pPr>
        <w:pStyle w:val="8"/>
        <w:spacing w:line="360" w:lineRule="auto"/>
        <w:ind w:left="142"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四、报名条件：</w:t>
      </w:r>
    </w:p>
    <w:p>
      <w:pPr>
        <w:pStyle w:val="8"/>
        <w:spacing w:line="360" w:lineRule="auto"/>
        <w:ind w:firstLine="600" w:firstLineChars="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主修专业已修课程（不含补考和学习支持课程考试）平均学分绩点在2.5及以上</w:t>
      </w:r>
      <w:r>
        <w:rPr>
          <w:rFonts w:hint="eastAsia" w:ascii="Times New Roman" w:hAnsi="Times New Roman" w:eastAsia="仿宋" w:cs="Times New Roman"/>
          <w:sz w:val="30"/>
          <w:szCs w:val="30"/>
        </w:rPr>
        <w:t>。</w:t>
      </w:r>
    </w:p>
    <w:p>
      <w:pPr>
        <w:pStyle w:val="8"/>
        <w:spacing w:line="360" w:lineRule="auto"/>
        <w:ind w:left="142"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五、开课时间：</w:t>
      </w:r>
    </w:p>
    <w:p>
      <w:pPr>
        <w:pStyle w:val="8"/>
        <w:spacing w:line="360" w:lineRule="auto"/>
        <w:ind w:firstLine="600" w:firstLineChars="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辅修课程教学</w:t>
      </w:r>
      <w:r>
        <w:rPr>
          <w:rFonts w:hint="eastAsia" w:ascii="Times New Roman" w:hAnsi="Times New Roman" w:eastAsia="仿宋" w:cs="Times New Roman"/>
          <w:sz w:val="30"/>
          <w:szCs w:val="30"/>
        </w:rPr>
        <w:t>原则上</w:t>
      </w:r>
      <w:r>
        <w:rPr>
          <w:rFonts w:ascii="Times New Roman" w:hAnsi="Times New Roman" w:eastAsia="仿宋" w:cs="Times New Roman"/>
          <w:sz w:val="30"/>
          <w:szCs w:val="30"/>
        </w:rPr>
        <w:t>安排在</w:t>
      </w: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周一、周四晚上</w:t>
      </w:r>
      <w:r>
        <w:rPr>
          <w:rFonts w:hint="eastAsia" w:ascii="Times New Roman" w:hAnsi="Times New Roman" w:eastAsia="仿宋" w:cs="Times New Roman"/>
          <w:sz w:val="30"/>
          <w:szCs w:val="30"/>
        </w:rPr>
        <w:t>及</w:t>
      </w:r>
      <w:r>
        <w:rPr>
          <w:rFonts w:hint="eastAsia" w:ascii="Times New Roman" w:hAnsi="Times New Roman" w:eastAsia="仿宋" w:cs="Times New Roman"/>
          <w:b/>
          <w:bCs/>
          <w:sz w:val="30"/>
          <w:szCs w:val="30"/>
        </w:rPr>
        <w:t>周日晚上（可根据实际情况调整）</w:t>
      </w:r>
      <w:r>
        <w:rPr>
          <w:rFonts w:ascii="Times New Roman" w:hAnsi="Times New Roman" w:eastAsia="仿宋" w:cs="Times New Roman"/>
          <w:sz w:val="30"/>
          <w:szCs w:val="30"/>
        </w:rPr>
        <w:t>。</w:t>
      </w:r>
      <w:r>
        <w:rPr>
          <w:rFonts w:hint="eastAsia" w:ascii="Times New Roman" w:hAnsi="Times New Roman" w:eastAsia="仿宋" w:cs="Times New Roman"/>
          <w:sz w:val="30"/>
          <w:szCs w:val="30"/>
        </w:rPr>
        <w:t>学生凭辅修专业学院发放的听课证上课。</w:t>
      </w:r>
    </w:p>
    <w:p>
      <w:pPr>
        <w:pStyle w:val="8"/>
        <w:spacing w:line="360" w:lineRule="auto"/>
        <w:ind w:left="142"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六、证书发放：</w:t>
      </w:r>
    </w:p>
    <w:p>
      <w:pPr>
        <w:pStyle w:val="8"/>
        <w:spacing w:line="360" w:lineRule="auto"/>
        <w:ind w:firstLine="600" w:firstLineChars="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1.辅修学生完成辅修专业教学计划规定课程，并取得规定学分，经由辅修学院初审，教务部审核后，由学校颁发辅修证书；</w:t>
      </w:r>
    </w:p>
    <w:p>
      <w:pPr>
        <w:pStyle w:val="8"/>
        <w:spacing w:line="360" w:lineRule="auto"/>
        <w:ind w:firstLine="600" w:firstLineChars="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2.凡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30"/>
          <w:szCs w:val="30"/>
        </w:rPr>
        <w:t>未修读完辅修专业全部课程者，可以发放辅修专业的已修课程成绩证明。</w:t>
      </w:r>
    </w:p>
    <w:p>
      <w:pPr>
        <w:pStyle w:val="8"/>
        <w:spacing w:line="360" w:lineRule="auto"/>
        <w:ind w:left="142"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七、学费收取：</w:t>
      </w:r>
    </w:p>
    <w:p>
      <w:pPr>
        <w:pStyle w:val="8"/>
        <w:numPr>
          <w:ilvl w:val="0"/>
          <w:numId w:val="1"/>
        </w:numPr>
        <w:spacing w:line="360" w:lineRule="auto"/>
        <w:ind w:firstLine="60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辅修专业只收取课程学分学费，采用先缴费后学习的方式，按照250/学分收取，按学期缴纳，辅修费统一交计划财务部；缴费时间为</w:t>
      </w:r>
      <w:r>
        <w:rPr>
          <w:rFonts w:hint="eastAsia" w:ascii="Times New Roman" w:hAnsi="Times New Roman" w:eastAsia="仿宋" w:cs="Times New Roman"/>
          <w:b w:val="0"/>
          <w:bCs w:val="0"/>
          <w:sz w:val="30"/>
          <w:szCs w:val="30"/>
        </w:rPr>
        <w:t>每学期第13周；</w:t>
      </w:r>
    </w:p>
    <w:p>
      <w:pPr>
        <w:pStyle w:val="8"/>
        <w:numPr>
          <w:ilvl w:val="0"/>
          <w:numId w:val="1"/>
        </w:numPr>
        <w:spacing w:line="360" w:lineRule="auto"/>
        <w:ind w:firstLine="60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学生因个人原因不能继续修读辅修专业时，需本人申请，辅修学院同意，报教务部备案；</w:t>
      </w:r>
    </w:p>
    <w:p>
      <w:pPr>
        <w:pStyle w:val="8"/>
        <w:numPr>
          <w:ilvl w:val="0"/>
          <w:numId w:val="1"/>
        </w:numPr>
        <w:spacing w:line="360" w:lineRule="auto"/>
        <w:ind w:firstLine="60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学生辅修期间若达到学校退学警示条件的，学校有权终止其辅修资格；</w:t>
      </w:r>
    </w:p>
    <w:p>
      <w:pPr>
        <w:pStyle w:val="8"/>
        <w:numPr>
          <w:ilvl w:val="0"/>
          <w:numId w:val="1"/>
        </w:numPr>
        <w:spacing w:line="360" w:lineRule="auto"/>
        <w:ind w:firstLine="600"/>
        <w:rPr>
          <w:rFonts w:ascii="黑体" w:hAnsi="黑体" w:eastAsia="黑体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因个人原因终止辅修的，已经过学生学分确认的课程费用不予退还。</w:t>
      </w:r>
    </w:p>
    <w:p>
      <w:pPr>
        <w:pStyle w:val="8"/>
        <w:spacing w:line="360" w:lineRule="auto"/>
        <w:ind w:left="142"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八、培养方案</w:t>
      </w:r>
    </w:p>
    <w:p>
      <w:pPr>
        <w:spacing w:line="360" w:lineRule="auto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《日语》辅修专业培养方案</w:t>
      </w:r>
    </w:p>
    <w:p>
      <w:pPr>
        <w:pStyle w:val="9"/>
        <w:spacing w:line="360" w:lineRule="auto"/>
        <w:ind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 xml:space="preserve">一、培养目标 </w:t>
      </w:r>
    </w:p>
    <w:p>
      <w:pPr>
        <w:pStyle w:val="8"/>
        <w:spacing w:line="360" w:lineRule="auto"/>
        <w:ind w:firstLine="600" w:firstLineChars="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培养良好的日语语言能力，在听、说、读、写等实际应用能力方面有较大提高，且具备用日语进行简单交际的能力。通过日语辅修专业的学习，达到国际日语能力考试（JLPT）3级水平，或标准商务日语考试（STBJ）3级水平。</w:t>
      </w:r>
    </w:p>
    <w:p>
      <w:pPr>
        <w:pStyle w:val="8"/>
        <w:spacing w:line="360" w:lineRule="auto"/>
        <w:ind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二、基本业务规格</w:t>
      </w:r>
    </w:p>
    <w:p>
      <w:pPr>
        <w:pStyle w:val="8"/>
        <w:spacing w:line="360" w:lineRule="auto"/>
        <w:ind w:firstLine="60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1</w:t>
      </w:r>
      <w:r>
        <w:rPr>
          <w:rFonts w:hint="eastAsia" w:ascii="Times New Roman" w:hAnsi="Times New Roman" w:eastAsia="仿宋" w:cs="Times New Roman"/>
          <w:sz w:val="30"/>
          <w:szCs w:val="30"/>
        </w:rPr>
        <w:t>.</w:t>
      </w:r>
      <w:r>
        <w:rPr>
          <w:rFonts w:ascii="Times New Roman" w:hAnsi="Times New Roman" w:eastAsia="仿宋" w:cs="Times New Roman"/>
          <w:sz w:val="30"/>
          <w:szCs w:val="30"/>
        </w:rPr>
        <w:t>具备在简单商务环境下所需要的日语词汇、日语表达方面的知识，及适当运用的能力</w:t>
      </w:r>
      <w:r>
        <w:rPr>
          <w:rFonts w:hint="eastAsia" w:ascii="Times New Roman" w:hAnsi="Times New Roman" w:eastAsia="仿宋" w:cs="Times New Roman"/>
          <w:sz w:val="30"/>
          <w:szCs w:val="30"/>
        </w:rPr>
        <w:t>；</w:t>
      </w:r>
    </w:p>
    <w:p>
      <w:pPr>
        <w:pStyle w:val="8"/>
        <w:spacing w:line="360" w:lineRule="auto"/>
        <w:ind w:firstLine="60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2</w:t>
      </w:r>
      <w:r>
        <w:rPr>
          <w:rFonts w:hint="eastAsia" w:ascii="Times New Roman" w:hAnsi="Times New Roman" w:eastAsia="仿宋" w:cs="Times New Roman"/>
          <w:sz w:val="30"/>
          <w:szCs w:val="30"/>
        </w:rPr>
        <w:t>.</w:t>
      </w:r>
      <w:r>
        <w:rPr>
          <w:rFonts w:ascii="Times New Roman" w:hAnsi="Times New Roman" w:eastAsia="仿宋" w:cs="Times New Roman"/>
          <w:sz w:val="30"/>
          <w:szCs w:val="30"/>
        </w:rPr>
        <w:t>具备商务场合不可欠缺的日语敬语表达能力</w:t>
      </w:r>
      <w:r>
        <w:rPr>
          <w:rFonts w:hint="eastAsia" w:ascii="Times New Roman" w:hAnsi="Times New Roman" w:eastAsia="仿宋" w:cs="Times New Roman"/>
          <w:sz w:val="30"/>
          <w:szCs w:val="30"/>
        </w:rPr>
        <w:t>；</w:t>
      </w:r>
    </w:p>
    <w:p>
      <w:pPr>
        <w:pStyle w:val="8"/>
        <w:spacing w:line="360" w:lineRule="auto"/>
        <w:ind w:firstLine="60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3</w:t>
      </w:r>
      <w:r>
        <w:rPr>
          <w:rFonts w:hint="eastAsia" w:ascii="Times New Roman" w:hAnsi="Times New Roman" w:eastAsia="仿宋" w:cs="Times New Roman"/>
          <w:sz w:val="30"/>
          <w:szCs w:val="30"/>
        </w:rPr>
        <w:t>.熟悉</w:t>
      </w:r>
      <w:r>
        <w:rPr>
          <w:rFonts w:ascii="Times New Roman" w:hAnsi="Times New Roman" w:eastAsia="仿宋" w:cs="Times New Roman"/>
          <w:sz w:val="30"/>
          <w:szCs w:val="30"/>
        </w:rPr>
        <w:t>日本人独特的委婉表达、虑及对方的表达</w:t>
      </w:r>
      <w:r>
        <w:rPr>
          <w:rFonts w:hint="eastAsia" w:ascii="Times New Roman" w:hAnsi="Times New Roman" w:eastAsia="仿宋" w:cs="Times New Roman"/>
          <w:sz w:val="30"/>
          <w:szCs w:val="30"/>
        </w:rPr>
        <w:t>方式</w:t>
      </w:r>
      <w:r>
        <w:rPr>
          <w:rFonts w:ascii="Times New Roman" w:hAnsi="Times New Roman" w:eastAsia="仿宋" w:cs="Times New Roman"/>
          <w:sz w:val="30"/>
          <w:szCs w:val="30"/>
        </w:rPr>
        <w:t>并能适当应对</w:t>
      </w:r>
      <w:r>
        <w:rPr>
          <w:rFonts w:hint="eastAsia" w:ascii="Times New Roman" w:hAnsi="Times New Roman" w:eastAsia="仿宋" w:cs="Times New Roman"/>
          <w:sz w:val="30"/>
          <w:szCs w:val="30"/>
        </w:rPr>
        <w:t>；</w:t>
      </w:r>
    </w:p>
    <w:p>
      <w:pPr>
        <w:pStyle w:val="8"/>
        <w:spacing w:line="360" w:lineRule="auto"/>
        <w:ind w:firstLine="600" w:firstLineChars="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ascii="Times New Roman" w:hAnsi="Times New Roman" w:eastAsia="仿宋" w:cs="Times New Roman"/>
          <w:sz w:val="30"/>
          <w:szCs w:val="30"/>
        </w:rPr>
        <w:t>4</w:t>
      </w:r>
      <w:r>
        <w:rPr>
          <w:rFonts w:hint="eastAsia" w:ascii="Times New Roman" w:hAnsi="Times New Roman" w:eastAsia="仿宋" w:cs="Times New Roman"/>
          <w:sz w:val="30"/>
          <w:szCs w:val="30"/>
        </w:rPr>
        <w:t>.</w:t>
      </w:r>
      <w:r>
        <w:rPr>
          <w:rFonts w:ascii="Times New Roman" w:hAnsi="Times New Roman" w:eastAsia="仿宋" w:cs="Times New Roman"/>
          <w:sz w:val="30"/>
          <w:szCs w:val="30"/>
        </w:rPr>
        <w:t>掌握日本人商务活动中不可缺少的礼仪习惯</w:t>
      </w:r>
      <w:r>
        <w:rPr>
          <w:rFonts w:hint="eastAsia" w:ascii="Times New Roman" w:hAnsi="Times New Roman" w:eastAsia="仿宋" w:cs="Times New Roman"/>
          <w:sz w:val="30"/>
          <w:szCs w:val="30"/>
        </w:rPr>
        <w:t>。</w:t>
      </w:r>
    </w:p>
    <w:p>
      <w:pPr>
        <w:pStyle w:val="8"/>
        <w:spacing w:line="360" w:lineRule="auto"/>
        <w:ind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三、基准学制</w:t>
      </w:r>
    </w:p>
    <w:p>
      <w:pPr>
        <w:pStyle w:val="8"/>
        <w:spacing w:line="360" w:lineRule="auto"/>
        <w:ind w:firstLine="60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1.学制：四学期（第3-6学期）</w:t>
      </w:r>
    </w:p>
    <w:p>
      <w:pPr>
        <w:pStyle w:val="8"/>
        <w:spacing w:line="360" w:lineRule="auto"/>
        <w:ind w:firstLine="60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2.学习方式：辅修课程教学主要安排在周一、周四晚上及周日晚上（可根据实际情况调整）。</w:t>
      </w:r>
    </w:p>
    <w:p>
      <w:pPr>
        <w:pStyle w:val="9"/>
        <w:spacing w:line="360" w:lineRule="auto"/>
        <w:ind w:firstLine="0" w:firstLineChars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四、课程设置及学分要求</w:t>
      </w:r>
    </w:p>
    <w:p>
      <w:pPr>
        <w:pStyle w:val="9"/>
        <w:spacing w:line="360" w:lineRule="auto"/>
        <w:ind w:firstLine="600"/>
        <w:rPr>
          <w:rFonts w:ascii="Times New Roman" w:hAnsi="Times New Roman" w:eastAsia="仿宋" w:cs="Times New Roman"/>
          <w:sz w:val="30"/>
          <w:szCs w:val="30"/>
        </w:rPr>
      </w:pPr>
      <w:r>
        <w:rPr>
          <w:rFonts w:hint="eastAsia" w:ascii="Times New Roman" w:hAnsi="Times New Roman" w:eastAsia="仿宋" w:cs="Times New Roman"/>
          <w:sz w:val="30"/>
          <w:szCs w:val="30"/>
        </w:rPr>
        <w:t>日语辅修专业全部课程共30学分。其中专业核心课程为18学分，专业实践课程为12学分。</w:t>
      </w:r>
    </w:p>
    <w:p>
      <w:pPr>
        <w:spacing w:line="360" w:lineRule="auto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日语辅修专业教学安排表</w:t>
      </w:r>
    </w:p>
    <w:tbl>
      <w:tblPr>
        <w:tblStyle w:val="7"/>
        <w:tblW w:w="84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957"/>
        <w:gridCol w:w="1843"/>
        <w:gridCol w:w="709"/>
        <w:gridCol w:w="709"/>
        <w:gridCol w:w="708"/>
        <w:gridCol w:w="709"/>
        <w:gridCol w:w="709"/>
        <w:gridCol w:w="709"/>
        <w:gridCol w:w="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Merge w:val="restart"/>
            <w:tcBorders>
              <w:top w:val="thinThickSmallGap" w:color="auto" w:sz="24" w:space="0"/>
              <w:left w:val="thinThick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课程</w:t>
            </w: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br w:type="textWrapping"/>
            </w: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类别</w:t>
            </w:r>
          </w:p>
        </w:tc>
        <w:tc>
          <w:tcPr>
            <w:tcW w:w="957" w:type="dxa"/>
            <w:vMerge w:val="restart"/>
            <w:tcBorders>
              <w:top w:val="thinThickSmallGap" w:color="auto" w:sz="2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课程代码</w:t>
            </w:r>
          </w:p>
        </w:tc>
        <w:tc>
          <w:tcPr>
            <w:tcW w:w="1843" w:type="dxa"/>
            <w:vMerge w:val="restart"/>
            <w:tcBorders>
              <w:top w:val="thinThick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课 程 名 称</w:t>
            </w:r>
          </w:p>
        </w:tc>
        <w:tc>
          <w:tcPr>
            <w:tcW w:w="2126" w:type="dxa"/>
            <w:gridSpan w:val="3"/>
            <w:tcBorders>
              <w:top w:val="thinThick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学分构成</w:t>
            </w:r>
          </w:p>
        </w:tc>
        <w:tc>
          <w:tcPr>
            <w:tcW w:w="1418" w:type="dxa"/>
            <w:gridSpan w:val="2"/>
            <w:tcBorders>
              <w:top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周学时构成</w:t>
            </w:r>
          </w:p>
        </w:tc>
        <w:tc>
          <w:tcPr>
            <w:tcW w:w="709" w:type="dxa"/>
            <w:vMerge w:val="restart"/>
            <w:tcBorders>
              <w:top w:val="thinThick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学期</w:t>
            </w:r>
          </w:p>
        </w:tc>
        <w:tc>
          <w:tcPr>
            <w:tcW w:w="579" w:type="dxa"/>
            <w:vMerge w:val="restart"/>
            <w:tcBorders>
              <w:top w:val="thinThickSmallGap" w:color="auto" w:sz="24" w:space="0"/>
              <w:right w:val="thickThin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52" w:type="dxa"/>
            <w:vMerge w:val="continue"/>
            <w:tcBorders>
              <w:left w:val="thinThick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  <w:tc>
          <w:tcPr>
            <w:tcW w:w="95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总学分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理论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实践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理论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6"/>
                <w:szCs w:val="16"/>
              </w:rPr>
              <w:t>实践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b/>
                <w:sz w:val="30"/>
                <w:szCs w:val="30"/>
              </w:rPr>
            </w:pPr>
          </w:p>
        </w:tc>
        <w:tc>
          <w:tcPr>
            <w:tcW w:w="579" w:type="dxa"/>
            <w:vMerge w:val="continue"/>
            <w:tcBorders>
              <w:right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Merge w:val="restart"/>
            <w:tcBorders>
              <w:left w:val="thinThickSmallGap" w:color="auto" w:sz="24" w:space="0"/>
            </w:tcBorders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18"/>
                <w:szCs w:val="18"/>
              </w:rPr>
              <w:t>专业教学课程</w:t>
            </w:r>
          </w:p>
        </w:tc>
        <w:tc>
          <w:tcPr>
            <w:tcW w:w="9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7E10015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初级日语1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A Preliminary Course of Japanese I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579" w:type="dxa"/>
            <w:vMerge w:val="restart"/>
            <w:tcBorders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16"/>
                <w:szCs w:val="16"/>
              </w:rPr>
              <w:t>必修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16"/>
                <w:szCs w:val="16"/>
              </w:rPr>
              <w:t>30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16"/>
                <w:szCs w:val="16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Merge w:val="continue"/>
            <w:tcBorders>
              <w:left w:val="thinThickSmallGap" w:color="auto" w:sz="24" w:space="0"/>
            </w:tcBorders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7E10025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初级日语2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A Preliminary Course of Japanese II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5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  <w:t>4</w:t>
            </w:r>
          </w:p>
        </w:tc>
        <w:tc>
          <w:tcPr>
            <w:tcW w:w="579" w:type="dxa"/>
            <w:vMerge w:val="continue"/>
            <w:tcBorders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Merge w:val="continue"/>
            <w:tcBorders>
              <w:left w:val="thinThickSmallGap" w:color="auto" w:sz="24" w:space="0"/>
            </w:tcBorders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7E10035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中级日语1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A Intermediate Course of Japanese I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  <w:t>5</w:t>
            </w:r>
          </w:p>
        </w:tc>
        <w:tc>
          <w:tcPr>
            <w:tcW w:w="579" w:type="dxa"/>
            <w:vMerge w:val="continue"/>
            <w:tcBorders>
              <w:right w:val="thickThinSmallGap" w:color="auto" w:sz="2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Merge w:val="continue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7E10045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中级日语2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18"/>
                <w:szCs w:val="18"/>
              </w:rPr>
              <w:t>A Intermediate Course of Japanese II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579" w:type="dxa"/>
            <w:vMerge w:val="continue"/>
            <w:tcBorders>
              <w:right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Merge w:val="continue"/>
            <w:tcBorders>
              <w:left w:val="thinThickSmallGap" w:color="auto" w:sz="24" w:space="0"/>
            </w:tcBorders>
            <w:textDirection w:val="tbRl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7E10055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日语视听说1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College Japanese Through Watching, Listening, &amp; Speaking I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579" w:type="dxa"/>
            <w:vMerge w:val="continue"/>
            <w:tcBorders>
              <w:right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Merge w:val="continue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7E10065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日语视听说2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College Japanese Through Watching, Listening, &amp; Speaking II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579" w:type="dxa"/>
            <w:vMerge w:val="continue"/>
            <w:tcBorders>
              <w:right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Merge w:val="continue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7E10075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日语语法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Japanese Grammar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  <w:t>5</w:t>
            </w:r>
          </w:p>
        </w:tc>
        <w:tc>
          <w:tcPr>
            <w:tcW w:w="579" w:type="dxa"/>
            <w:vMerge w:val="continue"/>
            <w:tcBorders>
              <w:right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Merge w:val="continue"/>
            <w:tcBorders>
              <w:left w:val="thinThick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7E10085</w:t>
            </w:r>
          </w:p>
        </w:tc>
        <w:tc>
          <w:tcPr>
            <w:tcW w:w="184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日语泛读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18"/>
                <w:szCs w:val="18"/>
              </w:rPr>
              <w:t>Japanese Extensive Reading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</w:rPr>
              <w:t>6</w:t>
            </w:r>
          </w:p>
        </w:tc>
        <w:tc>
          <w:tcPr>
            <w:tcW w:w="579" w:type="dxa"/>
            <w:vMerge w:val="continue"/>
            <w:tcBorders>
              <w:right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Merge w:val="continue"/>
            <w:tcBorders>
              <w:left w:val="thinThickSmallGap" w:color="auto" w:sz="24" w:space="0"/>
              <w:bottom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2800" w:type="dxa"/>
            <w:gridSpan w:val="2"/>
            <w:tcBorders>
              <w:bottom w:val="thickThin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  <w:t>合  计</w:t>
            </w:r>
          </w:p>
        </w:tc>
        <w:tc>
          <w:tcPr>
            <w:tcW w:w="709" w:type="dxa"/>
            <w:tcBorders>
              <w:bottom w:val="thickThin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bottom w:val="thickThinSmallGap" w:color="auto" w:sz="2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14</w:t>
            </w:r>
          </w:p>
        </w:tc>
        <w:tc>
          <w:tcPr>
            <w:tcW w:w="708" w:type="dxa"/>
            <w:tcBorders>
              <w:bottom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bottom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bottom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bottom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kern w:val="0"/>
                <w:sz w:val="18"/>
                <w:szCs w:val="18"/>
              </w:rPr>
            </w:pPr>
          </w:p>
        </w:tc>
        <w:tc>
          <w:tcPr>
            <w:tcW w:w="579" w:type="dxa"/>
            <w:vMerge w:val="continue"/>
            <w:tcBorders>
              <w:bottom w:val="thickThinSmallGap" w:color="auto" w:sz="24" w:space="0"/>
              <w:right w:val="thickThinSmallGap" w:color="auto" w:sz="2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</w:p>
        </w:tc>
      </w:tr>
    </w:tbl>
    <w:p>
      <w:pPr>
        <w:rPr>
          <w:rFonts w:ascii="黑体" w:hAnsi="黑体" w:eastAsia="黑体"/>
          <w:b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11EAF"/>
    <w:multiLevelType w:val="singleLevel"/>
    <w:tmpl w:val="57511EA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F27B97"/>
    <w:rsid w:val="00003466"/>
    <w:rsid w:val="001420A5"/>
    <w:rsid w:val="00200B3B"/>
    <w:rsid w:val="00231403"/>
    <w:rsid w:val="002C7F61"/>
    <w:rsid w:val="00426052"/>
    <w:rsid w:val="0047670A"/>
    <w:rsid w:val="004F7EBC"/>
    <w:rsid w:val="00560670"/>
    <w:rsid w:val="006B2CA2"/>
    <w:rsid w:val="00756DAE"/>
    <w:rsid w:val="00773576"/>
    <w:rsid w:val="00777913"/>
    <w:rsid w:val="00914EFE"/>
    <w:rsid w:val="00915F90"/>
    <w:rsid w:val="00930739"/>
    <w:rsid w:val="009864CC"/>
    <w:rsid w:val="00A429DB"/>
    <w:rsid w:val="00A457A3"/>
    <w:rsid w:val="00B36439"/>
    <w:rsid w:val="00C0313B"/>
    <w:rsid w:val="00D33E4C"/>
    <w:rsid w:val="00E9056B"/>
    <w:rsid w:val="00ED639C"/>
    <w:rsid w:val="00EF52FC"/>
    <w:rsid w:val="00FB7CDF"/>
    <w:rsid w:val="00FF7371"/>
    <w:rsid w:val="0FB02C48"/>
    <w:rsid w:val="20584B54"/>
    <w:rsid w:val="297C1AD7"/>
    <w:rsid w:val="344E46CE"/>
    <w:rsid w:val="363655BD"/>
    <w:rsid w:val="3B085F21"/>
    <w:rsid w:val="3B477615"/>
    <w:rsid w:val="480A7858"/>
    <w:rsid w:val="48BB7DE0"/>
    <w:rsid w:val="4B251D57"/>
    <w:rsid w:val="4C1D2E9A"/>
    <w:rsid w:val="52F27B97"/>
    <w:rsid w:val="688D5851"/>
    <w:rsid w:val="6B47291F"/>
    <w:rsid w:val="7A133D75"/>
    <w:rsid w:val="7D807585"/>
    <w:rsid w:val="7F3115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11"/>
    <w:qFormat/>
    <w:uiPriority w:val="0"/>
    <w:pPr>
      <w:jc w:val="center"/>
    </w:pPr>
    <w:rPr>
      <w:rFonts w:ascii="Arial" w:hAnsi="Arial" w:eastAsia="黑体" w:cs="Times New Roman"/>
      <w:b/>
      <w:kern w:val="0"/>
      <w:sz w:val="44"/>
      <w:szCs w:val="20"/>
      <w:lang w:eastAsia="en-US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_Style 1"/>
    <w:basedOn w:val="1"/>
    <w:qFormat/>
    <w:uiPriority w:val="34"/>
    <w:pPr>
      <w:ind w:firstLine="420" w:firstLineChars="200"/>
    </w:pPr>
  </w:style>
  <w:style w:type="paragraph" w:customStyle="1" w:styleId="9">
    <w:name w:val="_Style 2"/>
    <w:basedOn w:val="1"/>
    <w:qFormat/>
    <w:uiPriority w:val="34"/>
    <w:pPr>
      <w:ind w:firstLine="420" w:firstLineChars="200"/>
    </w:p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标题 Char"/>
    <w:basedOn w:val="5"/>
    <w:link w:val="4"/>
    <w:qFormat/>
    <w:uiPriority w:val="0"/>
    <w:rPr>
      <w:rFonts w:ascii="Arial" w:hAnsi="Arial" w:eastAsia="黑体" w:cs="Times New Roman"/>
      <w:b/>
      <w:sz w:val="44"/>
      <w:lang w:eastAsia="en-US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283</Words>
  <Characters>1615</Characters>
  <Lines>13</Lines>
  <Paragraphs>3</Paragraphs>
  <TotalTime>10</TotalTime>
  <ScaleCrop>false</ScaleCrop>
  <LinksUpToDate>false</LinksUpToDate>
  <CharactersWithSpaces>1895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2016-06-03T04:40:00Z</dcterms:created>
  <dc:creator>Administrator</dc:creator>
  <cp:lastModifiedBy>Administrator</cp:lastModifiedBy>
  <cp:lastPrinted>2016-06-03T06:09:00Z</cp:lastPrinted>
  <dcterms:modified xsi:type="dcterms:W3CDTF">2021-04-21T08:38:52Z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B7879A55A34342C5AEAA5BC5EA3A7F2E</vt:lpwstr>
  </property>
</Properties>
</file>