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宋体" w:hAnsi="宋体" w:eastAsia="宋体" w:cs="Times New Roman"/>
          <w:sz w:val="28"/>
          <w:szCs w:val="32"/>
          <w:lang w:eastAsia="zh-CN"/>
        </w:rPr>
      </w:pPr>
      <w:r>
        <w:rPr>
          <w:rFonts w:hint="eastAsia" w:ascii="宋体" w:hAnsi="宋体" w:eastAsia="宋体" w:cs="Times New Roman"/>
          <w:sz w:val="28"/>
          <w:szCs w:val="32"/>
        </w:rPr>
        <w:t>附件</w:t>
      </w:r>
      <w:r>
        <w:rPr>
          <w:rFonts w:hint="eastAsia" w:ascii="宋体" w:hAnsi="宋体" w:eastAsia="宋体" w:cs="Times New Roman"/>
          <w:sz w:val="28"/>
          <w:szCs w:val="32"/>
          <w:lang w:val="en-US" w:eastAsia="zh-CN"/>
        </w:rPr>
        <w:t>5</w:t>
      </w:r>
      <w:bookmarkStart w:id="1" w:name="_GoBack"/>
      <w:bookmarkEnd w:id="1"/>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宁波市高校慕课联盟课程共享与学分</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rPr>
      </w:pPr>
      <w:r>
        <w:rPr>
          <w:rFonts w:hint="eastAsia" w:ascii="仿宋" w:hAnsi="仿宋" w:eastAsia="仿宋" w:cs="仿宋"/>
          <w:b/>
          <w:bCs/>
          <w:sz w:val="32"/>
          <w:szCs w:val="32"/>
        </w:rPr>
        <w:t>互认管理办法（试行）</w:t>
      </w:r>
    </w:p>
    <w:p>
      <w:pPr>
        <w:keepNext w:val="0"/>
        <w:keepLines w:val="0"/>
        <w:pageBreakBefore w:val="0"/>
        <w:widowControl w:val="0"/>
        <w:kinsoku/>
        <w:wordWrap/>
        <w:overflowPunct/>
        <w:topLinePunct w:val="0"/>
        <w:autoSpaceDE/>
        <w:autoSpaceDN/>
        <w:bidi w:val="0"/>
        <w:adjustRightInd/>
        <w:snapToGrid/>
        <w:spacing w:before="313" w:beforeLines="100"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根据《宁波市高校慕课联盟课程管理规范（试行）》要求，进一步规范联盟课程的有序共享和持续发展，有效推进校际之间协同教学，确保教学质量，实现优质教育资源的共享与学分互认，特制定本管理方法。</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一、联盟课程共享要求</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为鼓励联盟成员使用联盟平台开展在线开放课程共享，鼓励联盟成员积极引用优质在线课程促进传统课堂教学变革，不断创新联盟高校之间课程共享与应用，积极探索校际协同的线上线下混合式教学模式的应用。建设一批学生受益面广、教学效果好、学习者认同度高的校际间的线上线下相结合的混合式金课。</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sz w:val="28"/>
          <w:szCs w:val="28"/>
        </w:rPr>
      </w:pPr>
      <w:r>
        <w:rPr>
          <w:rFonts w:hint="eastAsia" w:ascii="仿宋" w:hAnsi="仿宋" w:eastAsia="仿宋" w:cs="仿宋"/>
          <w:b/>
          <w:sz w:val="28"/>
          <w:szCs w:val="28"/>
        </w:rPr>
        <w:t>（一）强化在线课程应用的过程管理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根据校际协同教学模式需要，组建以开课学校课程负责人和受课学校相关专业教师为成员的教学团队。积极探索校际协同教学模式下的教学团队的组建及管理。教学团队要精心组织教学、在教学过程中开展作业、测验、考试、答疑、讨论等各类教学活动，注重对学习者学习过程的监测与评价。制定科学合理的评价标准严格课程学习、评价的标准和程序，确保各类教学的学习效果。</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sz w:val="28"/>
          <w:szCs w:val="28"/>
        </w:rPr>
      </w:pPr>
      <w:r>
        <w:rPr>
          <w:rFonts w:hint="eastAsia" w:ascii="仿宋" w:hAnsi="仿宋" w:eastAsia="仿宋" w:cs="仿宋"/>
          <w:b/>
          <w:sz w:val="28"/>
          <w:szCs w:val="28"/>
        </w:rPr>
        <w:t>（二）建立学分认定和转换机制</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各联盟高校要制定学分认定和转换的具体实施细则，明确学分认定和转换的范围、数量、标准和程序。鼓励高校优先选用联盟在线开放课程，开展学分认定和转换工作。</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二、联盟课程共享流程</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sz w:val="28"/>
          <w:szCs w:val="28"/>
        </w:rPr>
      </w:pPr>
      <w:r>
        <w:rPr>
          <w:rFonts w:hint="eastAsia" w:ascii="仿宋" w:hAnsi="仿宋" w:eastAsia="仿宋" w:cs="仿宋"/>
          <w:b/>
          <w:sz w:val="28"/>
          <w:szCs w:val="28"/>
        </w:rPr>
        <w:t>（一）共享课程遴选与发布</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共享课程清单来源为已立项和认定的联盟课程以及省级以上精品在线开放课程，由联盟秘书处统一发布，课程清单中包括以下课程信息：课程教学内容简介、课程资源列表（教学视频+辅助性教学资源）、课程学时、课程学分、考核标准、及课程负责人信息等。</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要求所有入选共享清单的课程由开课学校按联盟要求提供共享服务，如有特殊原因不能提供的，由课程负责人提出申请，经课程所在学校管理部门同意审核，报联盟秘书处备案。无正当理由不参与课程共享服务的，取消联盟课程称号。</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3.各高校根据联盟发布的共享课程清单，结合本校实际组织开展课程协同共享工作，将拟协同共享课程报联盟秘书处备案，并做好相关准备工作。</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sz w:val="28"/>
          <w:szCs w:val="28"/>
        </w:rPr>
      </w:pPr>
      <w:r>
        <w:rPr>
          <w:rFonts w:hint="eastAsia" w:ascii="仿宋" w:hAnsi="仿宋" w:eastAsia="仿宋" w:cs="仿宋"/>
          <w:b/>
          <w:sz w:val="28"/>
          <w:szCs w:val="28"/>
        </w:rPr>
        <w:t>（二）课程共享方案制定</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课程共享双方共同组建教学团队，课程负责人召集团队成员共同制定课程的共享实施方案，并形成明确的责任分工。教学团队主要负责课程线上教学的组织与实施，做好本校学生的教学组织与实施，包括线下面授课的讲授与管理、本校学生作业的批改、考试的组织与实施等。</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2.团队成员协同制定以“周”为单位的教学实施方案。教学实施方案报联盟审核，审核</w:t>
      </w:r>
      <w:r>
        <w:rPr>
          <w:rFonts w:hint="eastAsia" w:ascii="仿宋" w:hAnsi="仿宋" w:eastAsia="仿宋" w:cs="仿宋"/>
          <w:sz w:val="28"/>
        </w:rPr>
        <w:t>通过后</w:t>
      </w:r>
      <w:r>
        <w:rPr>
          <w:rFonts w:hint="eastAsia" w:ascii="仿宋" w:hAnsi="仿宋" w:eastAsia="仿宋" w:cs="仿宋"/>
          <w:sz w:val="28"/>
          <w:szCs w:val="28"/>
        </w:rPr>
        <w:t>提交双方教务处，并由教务处指导和组织教学实施。</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sz w:val="28"/>
          <w:szCs w:val="28"/>
        </w:rPr>
      </w:pPr>
      <w:r>
        <w:rPr>
          <w:rFonts w:hint="eastAsia" w:ascii="仿宋" w:hAnsi="仿宋" w:eastAsia="仿宋" w:cs="仿宋"/>
          <w:b/>
          <w:sz w:val="28"/>
          <w:szCs w:val="28"/>
        </w:rPr>
        <w:t>（三）课程共享组织与实施</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1.课程教学团队根据共享方案做好课程运行的日常管理工作，并举办不少于2次的教研活动</w:t>
      </w:r>
      <w:bookmarkStart w:id="0" w:name="_Hlk58939568"/>
      <w:r>
        <w:rPr>
          <w:rFonts w:hint="eastAsia" w:ascii="仿宋" w:hAnsi="仿宋" w:eastAsia="仿宋" w:cs="仿宋"/>
          <w:sz w:val="28"/>
          <w:szCs w:val="28"/>
        </w:rPr>
        <w:t>；负责课程线上教学的组织与实施</w:t>
      </w:r>
      <w:bookmarkEnd w:id="0"/>
      <w:r>
        <w:rPr>
          <w:rFonts w:hint="eastAsia" w:ascii="仿宋" w:hAnsi="仿宋" w:eastAsia="仿宋" w:cs="仿宋"/>
          <w:sz w:val="28"/>
          <w:szCs w:val="28"/>
        </w:rPr>
        <w:t>，包括开课前要求做好课程资源的发布、发布课程评价方案等工作；做好教学实施过程中的日常管理，包括每周至少发布1个课程公告，介绍本周学习内容及学习方法等；每周定时发布作业或练习，做好作业或练习的反馈工作；每周至少定期组织一次互动交流活动，发布讨论主题后要经常性地参与讨论交流等。教学团队应及时开展在线指导工作，完成交流区的答疑工作及完成作业、练习的成绩确认工作；严格按照课程评价方案实施考核评价，做到公开、公正、公平。</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2.联盟秘书处协同平台技术方做好平台的技术支持与服务工作，协助各高校完成对共享课程的课前准备、课中教学过程及课后成绩确认等重要节点进行检查，并对运行过程进行整体监控。</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sz w:val="28"/>
          <w:szCs w:val="28"/>
        </w:rPr>
      </w:pPr>
      <w:r>
        <w:rPr>
          <w:rFonts w:hint="eastAsia" w:ascii="仿宋" w:hAnsi="仿宋" w:eastAsia="仿宋" w:cs="仿宋"/>
          <w:b/>
          <w:sz w:val="28"/>
          <w:szCs w:val="28"/>
        </w:rPr>
        <w:t>（四）其他事项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1.教学团队于课程结束后10天内将课程最终成绩报联盟秘书处备案，各高校教务处按照学分认定规程完成认定工作。</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联盟秘书处组织专家对所有实施共享的课程进行效果考核与评价，评价指标参见附件，考核结果分为优秀、良好、不合格三个等级。建议受课学校的课程按该课程原有工作量进行计算，纳入教师的正常教学工作量，联盟秘书处根据考核等级和实际工作量，给予教学团队课程补助。</w:t>
      </w:r>
    </w:p>
    <w:p>
      <w:pPr>
        <w:rPr>
          <w:rFonts w:ascii="Times New Roman" w:hAnsi="Times New Roman" w:eastAsia="仿宋" w:cs="Times New Roman"/>
          <w:bCs/>
          <w:sz w:val="28"/>
          <w:szCs w:val="28"/>
        </w:rPr>
      </w:pPr>
    </w:p>
    <w:p>
      <w:pPr>
        <w:rPr>
          <w:rFonts w:hint="eastAsia" w:ascii="Times New Roman" w:hAnsi="Times New Roman" w:eastAsia="仿宋" w:cs="Times New Roman"/>
          <w:bCs/>
          <w:sz w:val="28"/>
          <w:szCs w:val="28"/>
        </w:rPr>
      </w:pPr>
    </w:p>
    <w:p/>
    <w:sectPr>
      <w:pgSz w:w="11906" w:h="16838"/>
      <w:pgMar w:top="1440" w:right="1797" w:bottom="1440" w:left="179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A76713"/>
    <w:rsid w:val="26A76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市人大办</Company>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2021-04-28T08:15:00Z</dcterms:created>
  <dc:creator>Administrator</dc:creator>
  <cp:lastModifiedBy>Administrator</cp:lastModifiedBy>
  <dcterms:modified xsi:type="dcterms:W3CDTF">2021-04-28T08:16:52Z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